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726B" w14:textId="77777777" w:rsidR="005B2493" w:rsidRPr="005B2493" w:rsidRDefault="005B2493" w:rsidP="005B2493">
      <w:pPr>
        <w:ind w:left="4678"/>
        <w:jc w:val="right"/>
        <w:rPr>
          <w:rFonts w:eastAsia="Arial"/>
          <w:b/>
          <w:color w:val="000000"/>
          <w:lang w:eastAsia="zh-CN"/>
        </w:rPr>
      </w:pPr>
      <w:r w:rsidRPr="005B2493">
        <w:rPr>
          <w:rFonts w:eastAsia="Arial"/>
          <w:b/>
          <w:color w:val="000000"/>
          <w:lang w:eastAsia="zh-CN"/>
        </w:rPr>
        <w:t>УТВЕРЖДЕНО</w:t>
      </w:r>
    </w:p>
    <w:p w14:paraId="57776B48" w14:textId="77777777" w:rsidR="005B2493" w:rsidRPr="005B2493" w:rsidRDefault="005B2493" w:rsidP="005B2493">
      <w:pPr>
        <w:ind w:left="3969"/>
        <w:jc w:val="right"/>
        <w:rPr>
          <w:rFonts w:eastAsia="Arial"/>
          <w:b/>
          <w:color w:val="000000"/>
          <w:lang w:eastAsia="zh-CN"/>
        </w:rPr>
      </w:pPr>
      <w:r w:rsidRPr="005B2493">
        <w:rPr>
          <w:rFonts w:eastAsia="Arial"/>
          <w:b/>
          <w:color w:val="000000"/>
          <w:lang w:eastAsia="zh-CN"/>
        </w:rPr>
        <w:t xml:space="preserve">решением Общего собрания членов </w:t>
      </w:r>
      <w:r w:rsidRPr="005B2493">
        <w:rPr>
          <w:rFonts w:eastAsia="Arial"/>
          <w:b/>
          <w:color w:val="000000"/>
          <w:lang w:eastAsia="zh-CN"/>
        </w:rPr>
        <w:br/>
        <w:t>Ассоциации «Приволжская гильдия строителей»</w:t>
      </w:r>
    </w:p>
    <w:p w14:paraId="1B5B7F1A" w14:textId="77777777" w:rsidR="005B2493" w:rsidRPr="005B2493" w:rsidRDefault="005B2493" w:rsidP="005B2493">
      <w:pPr>
        <w:ind w:left="4678"/>
        <w:jc w:val="right"/>
        <w:rPr>
          <w:rFonts w:eastAsia="Calibri"/>
          <w:b/>
          <w:color w:val="000000"/>
          <w:lang w:eastAsia="en-US"/>
        </w:rPr>
      </w:pPr>
      <w:r w:rsidRPr="005B2493">
        <w:rPr>
          <w:rFonts w:eastAsia="Arial"/>
          <w:b/>
          <w:color w:val="000000"/>
          <w:lang w:eastAsia="zh-CN"/>
        </w:rPr>
        <w:t xml:space="preserve">протокол № 19 от «17» октября 2022 года </w:t>
      </w:r>
    </w:p>
    <w:p w14:paraId="3A8C442B" w14:textId="77777777" w:rsidR="00CB29C4" w:rsidRDefault="00CB29C4" w:rsidP="00CB29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21FE8FC" w14:textId="77777777" w:rsidR="00CB29C4" w:rsidRDefault="00CB29C4" w:rsidP="00CB29C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0D39CA57" w14:textId="77777777" w:rsidR="00CB29C4" w:rsidRDefault="00CB29C4" w:rsidP="00CB29C4">
      <w:pPr>
        <w:jc w:val="right"/>
        <w:rPr>
          <w:rStyle w:val="ab"/>
          <w:b w:val="0"/>
        </w:rPr>
      </w:pPr>
    </w:p>
    <w:p w14:paraId="7D142752" w14:textId="77777777" w:rsidR="00C063E0" w:rsidRPr="00C063E0" w:rsidRDefault="00C063E0" w:rsidP="00C063E0">
      <w:pPr>
        <w:spacing w:line="360" w:lineRule="auto"/>
        <w:jc w:val="right"/>
        <w:rPr>
          <w:bCs/>
        </w:rPr>
      </w:pPr>
    </w:p>
    <w:p w14:paraId="09356C14" w14:textId="77777777" w:rsidR="00C063E0" w:rsidRPr="00C063E0" w:rsidRDefault="00C063E0" w:rsidP="00C063E0">
      <w:pPr>
        <w:spacing w:line="360" w:lineRule="auto"/>
        <w:jc w:val="center"/>
        <w:rPr>
          <w:b/>
          <w:bCs/>
          <w:sz w:val="28"/>
          <w:szCs w:val="28"/>
        </w:rPr>
      </w:pPr>
    </w:p>
    <w:p w14:paraId="617FF555" w14:textId="77777777" w:rsidR="00C063E0" w:rsidRPr="00C063E0" w:rsidRDefault="00C063E0" w:rsidP="00C063E0">
      <w:pPr>
        <w:spacing w:line="360" w:lineRule="auto"/>
        <w:jc w:val="center"/>
        <w:rPr>
          <w:b/>
          <w:bCs/>
          <w:sz w:val="28"/>
          <w:szCs w:val="28"/>
        </w:rPr>
      </w:pPr>
    </w:p>
    <w:p w14:paraId="04F3B552" w14:textId="77777777" w:rsidR="00C063E0" w:rsidRDefault="00C063E0" w:rsidP="00C063E0">
      <w:pPr>
        <w:spacing w:line="360" w:lineRule="auto"/>
        <w:jc w:val="center"/>
        <w:rPr>
          <w:b/>
          <w:bCs/>
          <w:sz w:val="48"/>
          <w:szCs w:val="48"/>
        </w:rPr>
      </w:pPr>
    </w:p>
    <w:p w14:paraId="147FAC6F" w14:textId="77777777" w:rsidR="00812349" w:rsidRDefault="00812349" w:rsidP="00C063E0">
      <w:pPr>
        <w:spacing w:line="360" w:lineRule="auto"/>
        <w:jc w:val="center"/>
        <w:rPr>
          <w:b/>
          <w:bCs/>
          <w:sz w:val="48"/>
          <w:szCs w:val="48"/>
        </w:rPr>
      </w:pPr>
    </w:p>
    <w:p w14:paraId="0106E729" w14:textId="77777777" w:rsidR="00812349" w:rsidRDefault="00812349" w:rsidP="00C063E0">
      <w:pPr>
        <w:spacing w:line="360" w:lineRule="auto"/>
        <w:jc w:val="center"/>
        <w:rPr>
          <w:b/>
          <w:bCs/>
          <w:sz w:val="48"/>
          <w:szCs w:val="48"/>
        </w:rPr>
      </w:pPr>
    </w:p>
    <w:p w14:paraId="00DEB24A" w14:textId="77777777" w:rsidR="00812349" w:rsidRPr="00C063E0" w:rsidRDefault="00812349" w:rsidP="00C063E0">
      <w:pPr>
        <w:spacing w:line="360" w:lineRule="auto"/>
        <w:jc w:val="center"/>
        <w:rPr>
          <w:b/>
          <w:bCs/>
          <w:sz w:val="48"/>
          <w:szCs w:val="48"/>
        </w:rPr>
      </w:pPr>
    </w:p>
    <w:p w14:paraId="7A6A82AB" w14:textId="77777777" w:rsidR="00C063E0" w:rsidRPr="00BE173B" w:rsidRDefault="00C063E0" w:rsidP="00BE173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E173B">
        <w:rPr>
          <w:b/>
          <w:bCs/>
          <w:sz w:val="32"/>
          <w:szCs w:val="32"/>
        </w:rPr>
        <w:t>П</w:t>
      </w:r>
      <w:r w:rsidR="00CB29C4" w:rsidRPr="00BE173B">
        <w:rPr>
          <w:b/>
          <w:bCs/>
          <w:sz w:val="32"/>
          <w:szCs w:val="32"/>
        </w:rPr>
        <w:t>О</w:t>
      </w:r>
      <w:r w:rsidRPr="00BE173B">
        <w:rPr>
          <w:b/>
          <w:bCs/>
          <w:sz w:val="32"/>
          <w:szCs w:val="32"/>
        </w:rPr>
        <w:t>ЛОЖЕНИЕ</w:t>
      </w:r>
    </w:p>
    <w:p w14:paraId="6323D1E4" w14:textId="77777777" w:rsidR="00C063E0" w:rsidRPr="00CB29C4" w:rsidRDefault="00BE173B" w:rsidP="00BE173B">
      <w:pPr>
        <w:jc w:val="center"/>
        <w:rPr>
          <w:b/>
          <w:bCs/>
          <w:sz w:val="40"/>
          <w:szCs w:val="40"/>
        </w:rPr>
      </w:pPr>
      <w:r w:rsidRPr="00BE173B">
        <w:rPr>
          <w:b/>
          <w:sz w:val="32"/>
          <w:szCs w:val="32"/>
        </w:rPr>
        <w:t xml:space="preserve"> о размере, порядке уплаты вступительных</w:t>
      </w:r>
      <w:r>
        <w:rPr>
          <w:b/>
          <w:sz w:val="32"/>
          <w:szCs w:val="32"/>
        </w:rPr>
        <w:t>, членских и целевых взносов в А</w:t>
      </w:r>
      <w:r w:rsidRPr="00BE173B">
        <w:rPr>
          <w:b/>
          <w:sz w:val="32"/>
          <w:szCs w:val="32"/>
        </w:rPr>
        <w:t>ссоциации</w:t>
      </w:r>
      <w:r>
        <w:rPr>
          <w:b/>
          <w:bCs/>
          <w:sz w:val="32"/>
          <w:szCs w:val="32"/>
        </w:rPr>
        <w:t xml:space="preserve"> «Приволжская гильдия строителей»</w:t>
      </w:r>
      <w:r w:rsidR="00C063E0" w:rsidRPr="00CB29C4">
        <w:rPr>
          <w:b/>
          <w:sz w:val="40"/>
          <w:szCs w:val="40"/>
        </w:rPr>
        <w:br/>
      </w:r>
    </w:p>
    <w:p w14:paraId="7037FB68" w14:textId="77777777" w:rsidR="00C063E0" w:rsidRPr="00C063E0" w:rsidRDefault="00C063E0" w:rsidP="00C063E0">
      <w:pPr>
        <w:spacing w:line="360" w:lineRule="auto"/>
        <w:jc w:val="center"/>
        <w:rPr>
          <w:b/>
          <w:bCs/>
          <w:sz w:val="48"/>
          <w:szCs w:val="48"/>
        </w:rPr>
      </w:pPr>
    </w:p>
    <w:p w14:paraId="2EB4ADFB" w14:textId="77777777" w:rsidR="00C063E0" w:rsidRPr="00C063E0" w:rsidRDefault="00C063E0" w:rsidP="00C063E0">
      <w:pPr>
        <w:spacing w:line="360" w:lineRule="auto"/>
        <w:jc w:val="center"/>
        <w:rPr>
          <w:b/>
          <w:bCs/>
          <w:sz w:val="48"/>
          <w:szCs w:val="48"/>
        </w:rPr>
      </w:pPr>
    </w:p>
    <w:p w14:paraId="648350EB" w14:textId="77777777" w:rsidR="00C063E0" w:rsidRPr="00C063E0" w:rsidRDefault="00C063E0" w:rsidP="00C063E0">
      <w:pPr>
        <w:spacing w:line="360" w:lineRule="auto"/>
        <w:jc w:val="center"/>
        <w:rPr>
          <w:b/>
          <w:bCs/>
          <w:sz w:val="32"/>
          <w:szCs w:val="32"/>
        </w:rPr>
      </w:pPr>
    </w:p>
    <w:p w14:paraId="1CC4464D" w14:textId="77777777" w:rsidR="00C063E0" w:rsidRPr="00C063E0" w:rsidRDefault="00C063E0" w:rsidP="00C063E0">
      <w:pPr>
        <w:spacing w:line="360" w:lineRule="auto"/>
        <w:jc w:val="center"/>
        <w:rPr>
          <w:b/>
          <w:bCs/>
          <w:sz w:val="32"/>
          <w:szCs w:val="32"/>
        </w:rPr>
      </w:pPr>
    </w:p>
    <w:p w14:paraId="30C9C646" w14:textId="77777777" w:rsidR="00C063E0" w:rsidRPr="00C063E0" w:rsidRDefault="00C063E0" w:rsidP="00C063E0">
      <w:pPr>
        <w:spacing w:line="360" w:lineRule="auto"/>
        <w:jc w:val="center"/>
        <w:rPr>
          <w:b/>
          <w:bCs/>
        </w:rPr>
      </w:pPr>
    </w:p>
    <w:p w14:paraId="47C83E26" w14:textId="77777777" w:rsidR="00C063E0" w:rsidRDefault="00C063E0" w:rsidP="00C063E0">
      <w:pPr>
        <w:spacing w:line="276" w:lineRule="auto"/>
        <w:jc w:val="center"/>
        <w:rPr>
          <w:b/>
          <w:bCs/>
        </w:rPr>
      </w:pPr>
    </w:p>
    <w:p w14:paraId="68052606" w14:textId="77777777" w:rsidR="00C063E0" w:rsidRDefault="00C063E0" w:rsidP="00C063E0">
      <w:pPr>
        <w:spacing w:line="276" w:lineRule="auto"/>
        <w:jc w:val="center"/>
        <w:rPr>
          <w:b/>
          <w:bCs/>
        </w:rPr>
      </w:pPr>
    </w:p>
    <w:p w14:paraId="28909570" w14:textId="77777777" w:rsidR="00BE173B" w:rsidRDefault="00BE173B" w:rsidP="00C063E0">
      <w:pPr>
        <w:spacing w:line="276" w:lineRule="auto"/>
        <w:jc w:val="center"/>
        <w:rPr>
          <w:b/>
          <w:bCs/>
        </w:rPr>
      </w:pPr>
    </w:p>
    <w:p w14:paraId="4DC1BAAF" w14:textId="77777777" w:rsidR="00BE173B" w:rsidRDefault="00BE173B" w:rsidP="00C063E0">
      <w:pPr>
        <w:spacing w:line="276" w:lineRule="auto"/>
        <w:jc w:val="center"/>
        <w:rPr>
          <w:b/>
          <w:bCs/>
        </w:rPr>
      </w:pPr>
    </w:p>
    <w:p w14:paraId="1C23B2FA" w14:textId="77777777" w:rsidR="00BE173B" w:rsidRDefault="00BE173B" w:rsidP="00C063E0">
      <w:pPr>
        <w:spacing w:line="276" w:lineRule="auto"/>
        <w:jc w:val="center"/>
        <w:rPr>
          <w:b/>
          <w:bCs/>
        </w:rPr>
      </w:pPr>
    </w:p>
    <w:p w14:paraId="2095EDC6" w14:textId="77777777" w:rsidR="00BE173B" w:rsidRDefault="00BE173B" w:rsidP="00C063E0">
      <w:pPr>
        <w:spacing w:line="276" w:lineRule="auto"/>
        <w:jc w:val="center"/>
        <w:rPr>
          <w:b/>
          <w:bCs/>
        </w:rPr>
      </w:pPr>
    </w:p>
    <w:p w14:paraId="32CF8D50" w14:textId="77777777" w:rsidR="00BE173B" w:rsidRDefault="00BE173B" w:rsidP="00C063E0">
      <w:pPr>
        <w:spacing w:line="276" w:lineRule="auto"/>
        <w:jc w:val="center"/>
        <w:rPr>
          <w:b/>
          <w:bCs/>
        </w:rPr>
      </w:pPr>
    </w:p>
    <w:p w14:paraId="5F6CFB5F" w14:textId="77777777" w:rsidR="00BE173B" w:rsidRDefault="00BE173B" w:rsidP="00C063E0">
      <w:pPr>
        <w:spacing w:line="276" w:lineRule="auto"/>
        <w:jc w:val="center"/>
        <w:rPr>
          <w:b/>
          <w:bCs/>
        </w:rPr>
      </w:pPr>
    </w:p>
    <w:p w14:paraId="72F44606" w14:textId="77777777" w:rsidR="00C063E0" w:rsidRPr="00C063E0" w:rsidRDefault="00BE173B" w:rsidP="00C063E0">
      <w:pPr>
        <w:spacing w:line="276" w:lineRule="auto"/>
        <w:jc w:val="center"/>
        <w:rPr>
          <w:b/>
          <w:bCs/>
        </w:rPr>
      </w:pPr>
      <w:r>
        <w:rPr>
          <w:b/>
          <w:bCs/>
        </w:rPr>
        <w:t>г. Нижний Новгород</w:t>
      </w:r>
    </w:p>
    <w:p w14:paraId="202F3E35" w14:textId="65524BC2" w:rsidR="00C063E0" w:rsidRPr="00C063E0" w:rsidRDefault="00C063E0" w:rsidP="00C063E0">
      <w:pPr>
        <w:spacing w:line="276" w:lineRule="auto"/>
        <w:jc w:val="center"/>
        <w:rPr>
          <w:b/>
          <w:bCs/>
        </w:rPr>
      </w:pPr>
      <w:r w:rsidRPr="00C063E0">
        <w:rPr>
          <w:b/>
          <w:bCs/>
        </w:rPr>
        <w:t xml:space="preserve"> 20</w:t>
      </w:r>
      <w:r w:rsidR="00F63E78">
        <w:rPr>
          <w:b/>
          <w:bCs/>
        </w:rPr>
        <w:t>2</w:t>
      </w:r>
      <w:r w:rsidR="00493BA8">
        <w:rPr>
          <w:b/>
          <w:bCs/>
        </w:rPr>
        <w:t>2</w:t>
      </w:r>
      <w:r w:rsidRPr="00C063E0">
        <w:rPr>
          <w:b/>
          <w:bCs/>
        </w:rPr>
        <w:t xml:space="preserve"> </w:t>
      </w:r>
      <w:r w:rsidR="00BE173B">
        <w:rPr>
          <w:b/>
          <w:bCs/>
        </w:rPr>
        <w:t>год</w:t>
      </w:r>
    </w:p>
    <w:p w14:paraId="4F722BA1" w14:textId="77777777" w:rsidR="00C063E0" w:rsidRDefault="00C063E0" w:rsidP="00CB29C4">
      <w:pPr>
        <w:numPr>
          <w:ilvl w:val="0"/>
          <w:numId w:val="17"/>
        </w:numPr>
        <w:ind w:left="0" w:firstLine="567"/>
        <w:contextualSpacing/>
        <w:jc w:val="center"/>
        <w:rPr>
          <w:b/>
          <w:bCs/>
        </w:rPr>
      </w:pPr>
      <w:r w:rsidRPr="00C063E0">
        <w:rPr>
          <w:b/>
          <w:bCs/>
        </w:rPr>
        <w:br w:type="page"/>
      </w:r>
      <w:r w:rsidRPr="00C063E0">
        <w:rPr>
          <w:b/>
          <w:bCs/>
        </w:rPr>
        <w:lastRenderedPageBreak/>
        <w:t>ОБЩИЕ ПОЛОЖЕНИЯ</w:t>
      </w:r>
    </w:p>
    <w:p w14:paraId="6A00980D" w14:textId="77777777" w:rsidR="00BE173B" w:rsidRPr="00C063E0" w:rsidRDefault="00BE173B" w:rsidP="00BE173B">
      <w:pPr>
        <w:ind w:left="567"/>
        <w:contextualSpacing/>
        <w:rPr>
          <w:b/>
          <w:bCs/>
        </w:rPr>
      </w:pPr>
    </w:p>
    <w:p w14:paraId="33D61F63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</w:pPr>
      <w:r w:rsidRPr="00C063E0">
        <w:t>Положение о размере, порядке уплаты вступительных, членских и целевых взносов в Ассоциации</w:t>
      </w:r>
      <w:r w:rsidRPr="00C063E0">
        <w:rPr>
          <w:b/>
          <w:bCs/>
        </w:rPr>
        <w:t xml:space="preserve"> </w:t>
      </w:r>
      <w:r w:rsidRPr="00C063E0">
        <w:t>«</w:t>
      </w:r>
      <w:r w:rsidR="003B75F5">
        <w:rPr>
          <w:bCs/>
        </w:rPr>
        <w:t>Приволжская гильдия строителей»</w:t>
      </w:r>
      <w:r w:rsidR="003B75F5">
        <w:t xml:space="preserve"> </w:t>
      </w:r>
      <w:r w:rsidRPr="00C063E0">
        <w:t>(далее – Ассоциация)</w:t>
      </w:r>
      <w:r w:rsidRPr="00C063E0">
        <w:rPr>
          <w:rFonts w:ascii="Calibri" w:hAnsi="Calibri"/>
          <w:sz w:val="22"/>
          <w:szCs w:val="22"/>
        </w:rPr>
        <w:t xml:space="preserve"> </w:t>
      </w:r>
      <w:r w:rsidRPr="00C063E0">
        <w:t>разработано в соответствии с Гражданским и Градостроительным кодексами Российской Федерации, Федеральными законами «О саморегулируемых организациях», «О некоммерческих организациях», Уставом Ассоциации.</w:t>
      </w:r>
    </w:p>
    <w:p w14:paraId="387EEBB0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</w:pPr>
      <w:r w:rsidRPr="00C063E0">
        <w:t>В Ассоциации устанавливаются следующие виды взносов:</w:t>
      </w:r>
    </w:p>
    <w:p w14:paraId="782486CA" w14:textId="77777777" w:rsidR="00C063E0" w:rsidRPr="00C063E0" w:rsidRDefault="00C063E0" w:rsidP="00CB29C4">
      <w:pPr>
        <w:numPr>
          <w:ilvl w:val="2"/>
          <w:numId w:val="17"/>
        </w:numPr>
        <w:tabs>
          <w:tab w:val="left" w:pos="993"/>
        </w:tabs>
        <w:ind w:left="0" w:firstLine="567"/>
        <w:contextualSpacing/>
        <w:jc w:val="both"/>
      </w:pPr>
      <w:r w:rsidRPr="00C063E0">
        <w:t>вступительные (единовременные) взносы;</w:t>
      </w:r>
    </w:p>
    <w:p w14:paraId="2C53FB01" w14:textId="77777777" w:rsidR="00C063E0" w:rsidRPr="00C063E0" w:rsidRDefault="00C063E0" w:rsidP="00CB29C4">
      <w:pPr>
        <w:numPr>
          <w:ilvl w:val="2"/>
          <w:numId w:val="17"/>
        </w:numPr>
        <w:tabs>
          <w:tab w:val="left" w:pos="993"/>
        </w:tabs>
        <w:ind w:left="0" w:firstLine="567"/>
        <w:contextualSpacing/>
        <w:jc w:val="both"/>
      </w:pPr>
      <w:r w:rsidRPr="00C063E0">
        <w:t>регулярные членские взносы;</w:t>
      </w:r>
    </w:p>
    <w:p w14:paraId="2CD12683" w14:textId="77777777" w:rsidR="00C063E0" w:rsidRPr="00C063E0" w:rsidRDefault="00C063E0" w:rsidP="00CB29C4">
      <w:pPr>
        <w:numPr>
          <w:ilvl w:val="2"/>
          <w:numId w:val="17"/>
        </w:numPr>
        <w:tabs>
          <w:tab w:val="left" w:pos="993"/>
        </w:tabs>
        <w:ind w:left="0" w:firstLine="567"/>
        <w:contextualSpacing/>
        <w:jc w:val="both"/>
      </w:pPr>
      <w:r w:rsidRPr="00C063E0">
        <w:t>единовременные целевые взносы;</w:t>
      </w:r>
    </w:p>
    <w:p w14:paraId="6EBF3E90" w14:textId="77777777" w:rsidR="00C063E0" w:rsidRPr="00C063E0" w:rsidRDefault="00C063E0" w:rsidP="00CB29C4">
      <w:pPr>
        <w:numPr>
          <w:ilvl w:val="2"/>
          <w:numId w:val="17"/>
        </w:numPr>
        <w:tabs>
          <w:tab w:val="left" w:pos="993"/>
        </w:tabs>
        <w:ind w:left="0" w:firstLine="567"/>
        <w:contextualSpacing/>
        <w:jc w:val="both"/>
      </w:pPr>
      <w:r w:rsidRPr="00C063E0">
        <w:t>добровольные имущественные взносы и пожертвования;</w:t>
      </w:r>
    </w:p>
    <w:p w14:paraId="39D00563" w14:textId="77777777" w:rsidR="00C063E0" w:rsidRPr="00C063E0" w:rsidRDefault="00C063E0" w:rsidP="00CB29C4">
      <w:pPr>
        <w:numPr>
          <w:ilvl w:val="2"/>
          <w:numId w:val="17"/>
        </w:numPr>
        <w:tabs>
          <w:tab w:val="left" w:pos="993"/>
        </w:tabs>
        <w:ind w:left="0" w:firstLine="567"/>
        <w:contextualSpacing/>
        <w:jc w:val="both"/>
      </w:pPr>
      <w:r w:rsidRPr="00C063E0">
        <w:t>взносы в компенсационный фонд возмещения вреда;</w:t>
      </w:r>
    </w:p>
    <w:p w14:paraId="7C6B702B" w14:textId="77777777" w:rsidR="00C063E0" w:rsidRPr="00C063E0" w:rsidRDefault="00C063E0" w:rsidP="00CB29C4">
      <w:pPr>
        <w:numPr>
          <w:ilvl w:val="2"/>
          <w:numId w:val="17"/>
        </w:numPr>
        <w:tabs>
          <w:tab w:val="left" w:pos="993"/>
        </w:tabs>
        <w:ind w:left="0" w:firstLine="567"/>
        <w:contextualSpacing/>
        <w:jc w:val="both"/>
      </w:pPr>
      <w:r w:rsidRPr="00C063E0">
        <w:t>взносы в компенсационный фонд обеспечения договорных обязательств.</w:t>
      </w:r>
    </w:p>
    <w:p w14:paraId="40BB0D38" w14:textId="714F9680" w:rsidR="00C063E0" w:rsidRPr="00C063E0" w:rsidRDefault="00C063E0" w:rsidP="00CB29C4">
      <w:pPr>
        <w:tabs>
          <w:tab w:val="left" w:pos="993"/>
        </w:tabs>
        <w:ind w:firstLine="567"/>
        <w:contextualSpacing/>
        <w:jc w:val="both"/>
      </w:pPr>
      <w:r w:rsidRPr="00C063E0">
        <w:t xml:space="preserve">Размер и порядок оплаты взносов в компенсационный фонд (компенсационные фонды) определяется </w:t>
      </w:r>
      <w:r w:rsidR="00D87AF3" w:rsidRPr="00F63E78">
        <w:t>Положением о Компенсационном фонде возмещения вреда Ассоциации «Приволжская гильдия строителей» и Положением о Компенсационном фонде обеспечения договорных обязательств Ассоциации «Приволжская гильдия строителей».</w:t>
      </w:r>
    </w:p>
    <w:p w14:paraId="62F6F0E3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</w:pPr>
      <w:r w:rsidRPr="00C063E0">
        <w:t>Члены Ассоциации обязаны своевременно вносить вступительные, регулярные членские и целевые взносы в порядке и в размерах, установленном настоящим Положением.</w:t>
      </w:r>
    </w:p>
    <w:p w14:paraId="3684229C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</w:pPr>
      <w:r w:rsidRPr="00C063E0">
        <w:t>Вступительные, регулярные членские и целевые взносы вносятся исключительно в денежной форме на расчетный счет Ассоциации.</w:t>
      </w:r>
    </w:p>
    <w:p w14:paraId="063094F7" w14:textId="77777777" w:rsid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</w:pPr>
      <w:r w:rsidRPr="00C063E0">
        <w:t>Датой исполнения обязанности по уплате вступительных, регулярных членских и целевых взносов считается дата зачисления денежных средств на расчетный счет Ассоциации.</w:t>
      </w:r>
    </w:p>
    <w:p w14:paraId="10CF767D" w14:textId="77777777" w:rsidR="00C063E0" w:rsidRPr="00C063E0" w:rsidRDefault="00C063E0" w:rsidP="00CB29C4">
      <w:pPr>
        <w:tabs>
          <w:tab w:val="left" w:pos="993"/>
        </w:tabs>
        <w:ind w:firstLine="567"/>
        <w:contextualSpacing/>
        <w:jc w:val="both"/>
      </w:pPr>
    </w:p>
    <w:p w14:paraId="02015A14" w14:textId="77777777" w:rsidR="00C063E0" w:rsidRPr="003B75F5" w:rsidRDefault="00C063E0" w:rsidP="00CB29C4">
      <w:pPr>
        <w:numPr>
          <w:ilvl w:val="0"/>
          <w:numId w:val="17"/>
        </w:numPr>
        <w:tabs>
          <w:tab w:val="left" w:pos="993"/>
        </w:tabs>
        <w:ind w:left="0" w:firstLine="567"/>
        <w:contextualSpacing/>
        <w:jc w:val="center"/>
      </w:pPr>
      <w:r w:rsidRPr="00C063E0">
        <w:rPr>
          <w:b/>
          <w:bCs/>
        </w:rPr>
        <w:t>ВСТУПИТЕЛЬНЫЕ ВЗНОСЫ</w:t>
      </w:r>
    </w:p>
    <w:p w14:paraId="08E95B61" w14:textId="77777777" w:rsidR="003B75F5" w:rsidRPr="00C063E0" w:rsidRDefault="003B75F5" w:rsidP="003B75F5">
      <w:pPr>
        <w:tabs>
          <w:tab w:val="left" w:pos="993"/>
        </w:tabs>
        <w:ind w:left="567"/>
        <w:contextualSpacing/>
      </w:pPr>
    </w:p>
    <w:p w14:paraId="7B634EDC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</w:pPr>
      <w:r w:rsidRPr="00C063E0">
        <w:t>Вступительный членский взнос уплачивается индивидуальным предпринимателем или юридическим лицом однократно при приеме в члены Ассоциации.</w:t>
      </w:r>
    </w:p>
    <w:p w14:paraId="31399654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jc w:val="both"/>
      </w:pPr>
      <w:r w:rsidRPr="00C063E0">
        <w:t xml:space="preserve">Вступительный взнос должен быть уплачен юридическим лицом или индивидуальным предпринимателем в полном объеме в </w:t>
      </w:r>
      <w:r w:rsidR="003B75F5">
        <w:t xml:space="preserve">течение семи </w:t>
      </w:r>
      <w:r w:rsidRPr="00C063E0">
        <w:t>рабочих дней, со дня получения уведомления о приеме в члены Ассоциации.</w:t>
      </w:r>
    </w:p>
    <w:p w14:paraId="0948D1D0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jc w:val="both"/>
      </w:pPr>
      <w:r w:rsidRPr="00C063E0">
        <w:t xml:space="preserve"> Уплата вступительного взноса является обязательным условием для вступления в силу решения Ассоциации о приеме в члены Ассоциации.</w:t>
      </w:r>
    </w:p>
    <w:p w14:paraId="49A5BC01" w14:textId="77777777" w:rsidR="00C063E0" w:rsidRPr="00C14733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jc w:val="both"/>
      </w:pPr>
      <w:r w:rsidRPr="00C063E0">
        <w:t xml:space="preserve">Размер вступительного членского взноса устанавливается </w:t>
      </w:r>
      <w:r w:rsidRPr="00C14733">
        <w:t xml:space="preserve">в размере </w:t>
      </w:r>
      <w:r w:rsidR="003B75F5" w:rsidRPr="00C14733">
        <w:t>5 000 (пять</w:t>
      </w:r>
      <w:r w:rsidRPr="00C14733">
        <w:t xml:space="preserve"> тысяч) рублей.</w:t>
      </w:r>
    </w:p>
    <w:p w14:paraId="762A48FA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  <w:rPr>
          <w:rFonts w:eastAsia="Calibri"/>
        </w:rPr>
      </w:pPr>
      <w:r w:rsidRPr="00C063E0">
        <w:t>В случае прекращения членства в Ассоциации уплаченный вступительный взнос не возвращается.</w:t>
      </w:r>
    </w:p>
    <w:p w14:paraId="4F3E9E1F" w14:textId="77777777" w:rsidR="00C063E0" w:rsidRDefault="00C063E0" w:rsidP="00CB29C4">
      <w:pPr>
        <w:numPr>
          <w:ilvl w:val="0"/>
          <w:numId w:val="17"/>
        </w:numPr>
        <w:tabs>
          <w:tab w:val="left" w:pos="993"/>
        </w:tabs>
        <w:ind w:left="0" w:firstLine="567"/>
        <w:contextualSpacing/>
        <w:jc w:val="center"/>
        <w:rPr>
          <w:b/>
        </w:rPr>
      </w:pPr>
      <w:r w:rsidRPr="00C063E0">
        <w:rPr>
          <w:b/>
        </w:rPr>
        <w:t>РЕГУЛЯРНЫЕ ЧЛЕНСКИЕ ВЗНОСЫ</w:t>
      </w:r>
    </w:p>
    <w:p w14:paraId="3044FC7B" w14:textId="77777777" w:rsidR="003A0595" w:rsidRPr="00C063E0" w:rsidRDefault="003A0595" w:rsidP="003A0595">
      <w:pPr>
        <w:tabs>
          <w:tab w:val="left" w:pos="993"/>
        </w:tabs>
        <w:ind w:left="567"/>
        <w:contextualSpacing/>
        <w:rPr>
          <w:b/>
        </w:rPr>
      </w:pPr>
    </w:p>
    <w:p w14:paraId="6196BFC4" w14:textId="77777777" w:rsidR="00C063E0" w:rsidRPr="00F63E78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</w:pPr>
      <w:r w:rsidRPr="00C063E0">
        <w:t>Регулярные членские взносы уплачиваются членами Ассоциации ежемесячно до 20 (Дв</w:t>
      </w:r>
      <w:r w:rsidR="00DB78E2">
        <w:t xml:space="preserve">адцатого) числа текущего месяца в размере 5 000 (пять тысяч) </w:t>
      </w:r>
      <w:r w:rsidR="00DB78E2" w:rsidRPr="00F63E78">
        <w:t>рублей за один месяц</w:t>
      </w:r>
      <w:r w:rsidRPr="00F63E78">
        <w:t xml:space="preserve">. Регулярные членские взносы оплачиваются членами Ассоциации ежемесячно без дополнительного уведомления об уплате, по реквизитам Ассоциации для уплаты членских взносов, предоставленных членам Ассоциации при приеме в Ассоциацию. </w:t>
      </w:r>
    </w:p>
    <w:p w14:paraId="6F47AE2C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  <w:rPr>
          <w:b/>
        </w:rPr>
      </w:pPr>
      <w:r w:rsidRPr="00C063E0">
        <w:t xml:space="preserve">При вступлении в силу решения Ассоциации о приеме в члены Ассоциации и внесения сведений в реестр членов Ассоциации, новый член Ассоциации уплачивает первый регулярный членский взнос </w:t>
      </w:r>
      <w:r w:rsidR="003A0595">
        <w:t>за месяц, в котором принято решение о приеме в члены, в полном объеме.</w:t>
      </w:r>
    </w:p>
    <w:p w14:paraId="2BF1C45F" w14:textId="77777777" w:rsidR="00C063E0" w:rsidRPr="00F63E78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  <w:rPr>
          <w:b/>
        </w:rPr>
      </w:pPr>
      <w:r w:rsidRPr="00F63E78">
        <w:t>Информация о размере регулярных членских взносов размещается на официальном сайте Ассоциации.</w:t>
      </w:r>
    </w:p>
    <w:p w14:paraId="75074A0C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  <w:rPr>
          <w:b/>
        </w:rPr>
      </w:pPr>
      <w:r w:rsidRPr="00C063E0">
        <w:lastRenderedPageBreak/>
        <w:t>В случае изменения реквизитов для уплаты регулярных членских взносов</w:t>
      </w:r>
      <w:r w:rsidRPr="00C063E0">
        <w:rPr>
          <w:b/>
          <w:color w:val="7030A0"/>
        </w:rPr>
        <w:t>,</w:t>
      </w:r>
      <w:r w:rsidRPr="00C063E0">
        <w:t xml:space="preserve"> члены Ассоциации уведомляются путем направления соответствующего письма по почте, факсу и (или) электронной почте. Информация об изменении реквизитов для оплаты таких взносов размещается на официальном сайте Ассоциации.</w:t>
      </w:r>
    </w:p>
    <w:p w14:paraId="33B0B0E3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</w:pPr>
      <w:r w:rsidRPr="00C063E0">
        <w:t xml:space="preserve">В случае прекращения членства в Ассоциации, уплаченные регулярные членские взносы не возвращаются. </w:t>
      </w:r>
    </w:p>
    <w:p w14:paraId="1C7EB821" w14:textId="77777777" w:rsidR="00C063E0" w:rsidRPr="00C063E0" w:rsidRDefault="00C063E0" w:rsidP="003A0595">
      <w:pPr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bCs/>
        </w:rPr>
      </w:pPr>
      <w:r w:rsidRPr="00C063E0">
        <w:t xml:space="preserve">В случае прекращения индивидуальным предпринимателем или юридическим лицом членства в Ассоциации регулярные членские взносы уплачиваются им </w:t>
      </w:r>
      <w:r w:rsidR="003A0595">
        <w:t>в полном объеме за месяц, в котором членство было прекращено.</w:t>
      </w:r>
    </w:p>
    <w:p w14:paraId="446A7E4A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  <w:tab w:val="left" w:pos="1276"/>
        </w:tabs>
        <w:ind w:left="0" w:firstLine="567"/>
        <w:jc w:val="both"/>
      </w:pPr>
      <w:r w:rsidRPr="00C063E0">
        <w:t>Членские взносы могут быть уплачены ранее сроков, установленных пунктом 3.1 настоящего Положения (авансовым платежом).</w:t>
      </w:r>
    </w:p>
    <w:p w14:paraId="447BAE7B" w14:textId="77777777" w:rsidR="00C063E0" w:rsidRPr="003A0595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  <w:rPr>
          <w:b/>
        </w:rPr>
      </w:pPr>
      <w:r w:rsidRPr="00C063E0">
        <w:t>Регулярные членские взносы являются обязательным ежемесячным текущим денежным вкладом членов Ассоциации и направленны на нужды Ассоциации и реализацию ее уставных целей.</w:t>
      </w:r>
    </w:p>
    <w:p w14:paraId="57E1771B" w14:textId="77777777" w:rsidR="003A0595" w:rsidRPr="00C063E0" w:rsidRDefault="003A0595" w:rsidP="003A0595">
      <w:pPr>
        <w:tabs>
          <w:tab w:val="left" w:pos="993"/>
        </w:tabs>
        <w:ind w:left="567"/>
        <w:contextualSpacing/>
        <w:jc w:val="both"/>
        <w:rPr>
          <w:b/>
        </w:rPr>
      </w:pPr>
    </w:p>
    <w:p w14:paraId="7FA31927" w14:textId="77777777" w:rsidR="00C063E0" w:rsidRPr="003A0595" w:rsidRDefault="00C063E0" w:rsidP="00CB29C4">
      <w:pPr>
        <w:numPr>
          <w:ilvl w:val="0"/>
          <w:numId w:val="17"/>
        </w:numPr>
        <w:tabs>
          <w:tab w:val="left" w:pos="993"/>
        </w:tabs>
        <w:ind w:left="0" w:firstLine="567"/>
        <w:contextualSpacing/>
        <w:jc w:val="center"/>
        <w:rPr>
          <w:b/>
        </w:rPr>
      </w:pPr>
      <w:r w:rsidRPr="00C063E0">
        <w:rPr>
          <w:b/>
          <w:bCs/>
        </w:rPr>
        <w:t>ЕДИНОВРЕМЕННЫЕ ЦЕЛЕВЫЕ ВЗНОСЫ</w:t>
      </w:r>
    </w:p>
    <w:p w14:paraId="2F08DEE9" w14:textId="77777777" w:rsidR="003A0595" w:rsidRPr="00C063E0" w:rsidRDefault="003A0595" w:rsidP="003A0595">
      <w:pPr>
        <w:tabs>
          <w:tab w:val="left" w:pos="993"/>
        </w:tabs>
        <w:ind w:left="567"/>
        <w:contextualSpacing/>
        <w:rPr>
          <w:b/>
        </w:rPr>
      </w:pPr>
    </w:p>
    <w:p w14:paraId="025C604C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</w:pPr>
      <w:r w:rsidRPr="00C063E0">
        <w:t>Единовременные целевые взносы членов Ассоциации уплачиваются членами Ассоциации в соответствии с решениями Общего собрания членов Ассоциации в порядке, устанавливаемом этими решениями.</w:t>
      </w:r>
    </w:p>
    <w:p w14:paraId="2CE6FA4F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  <w:rPr>
          <w:b/>
        </w:rPr>
      </w:pPr>
      <w:r w:rsidRPr="00C063E0">
        <w:t xml:space="preserve"> Размер единовременных целевых взносов устанавливается решением Общего собрания членов Ассоциации.</w:t>
      </w:r>
    </w:p>
    <w:p w14:paraId="341D731B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</w:pPr>
      <w:r w:rsidRPr="00C063E0">
        <w:t>Единовременные целевые взносы членов Ассоциации уплачиваются в денежной форме.</w:t>
      </w:r>
    </w:p>
    <w:p w14:paraId="68D5AB72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  <w:rPr>
          <w:b/>
        </w:rPr>
      </w:pPr>
      <w:r w:rsidRPr="00C063E0">
        <w:t>Единовременные целевые взносы используются Ассоциацией для финансирования конк</w:t>
      </w:r>
      <w:r w:rsidR="003A0595">
        <w:t>ретных мероприятий или программ</w:t>
      </w:r>
      <w:r w:rsidRPr="00C063E0">
        <w:t>.</w:t>
      </w:r>
    </w:p>
    <w:p w14:paraId="681F300B" w14:textId="77777777" w:rsidR="00C063E0" w:rsidRPr="00C063E0" w:rsidRDefault="00C063E0" w:rsidP="00CB29C4">
      <w:pPr>
        <w:tabs>
          <w:tab w:val="left" w:pos="993"/>
        </w:tabs>
        <w:ind w:firstLine="567"/>
        <w:contextualSpacing/>
        <w:jc w:val="both"/>
        <w:rPr>
          <w:b/>
        </w:rPr>
      </w:pPr>
    </w:p>
    <w:p w14:paraId="0F830AF6" w14:textId="77777777" w:rsidR="00C063E0" w:rsidRPr="003A0595" w:rsidRDefault="00C063E0" w:rsidP="00CB29C4">
      <w:pPr>
        <w:numPr>
          <w:ilvl w:val="0"/>
          <w:numId w:val="17"/>
        </w:numPr>
        <w:tabs>
          <w:tab w:val="left" w:pos="993"/>
        </w:tabs>
        <w:ind w:left="0" w:firstLine="567"/>
        <w:contextualSpacing/>
        <w:jc w:val="center"/>
        <w:rPr>
          <w:b/>
        </w:rPr>
      </w:pPr>
      <w:r w:rsidRPr="00C063E0">
        <w:rPr>
          <w:b/>
          <w:bCs/>
        </w:rPr>
        <w:t>ДОБРОВОЛЬНЫЕ ИМУЩЕСТВЕННЫЕ ВЗНОСЫ И ПОЖЕРТВОВАНИЯ</w:t>
      </w:r>
    </w:p>
    <w:p w14:paraId="31484799" w14:textId="77777777" w:rsidR="003A0595" w:rsidRPr="00C063E0" w:rsidRDefault="003A0595" w:rsidP="003A0595">
      <w:pPr>
        <w:tabs>
          <w:tab w:val="left" w:pos="993"/>
        </w:tabs>
        <w:ind w:left="567"/>
        <w:contextualSpacing/>
        <w:rPr>
          <w:b/>
        </w:rPr>
      </w:pPr>
    </w:p>
    <w:p w14:paraId="3CEF9651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b/>
        </w:rPr>
      </w:pPr>
      <w:r w:rsidRPr="00C063E0">
        <w:t>Решение о внесении в имущество Ассоциации добровольного взноса, сроках такого внесения, принимается членом Ассоциации или любым другим лицом самостоятельно.</w:t>
      </w:r>
    </w:p>
    <w:p w14:paraId="4E66842E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  <w:rPr>
          <w:b/>
        </w:rPr>
      </w:pPr>
      <w:r w:rsidRPr="00C063E0">
        <w:t xml:space="preserve">Лицо, принявшее решение о внесении в имущество Ассоциации добровольного взноса, сообщает об этом Ассоциации путем направления соответствующего уведомления на имя </w:t>
      </w:r>
      <w:r w:rsidR="00C14733">
        <w:t xml:space="preserve">Генерального </w:t>
      </w:r>
      <w:r w:rsidRPr="00C14733">
        <w:t>директора Ассоциации с указанием формы, размера взноса и срока его внесения.</w:t>
      </w:r>
    </w:p>
    <w:p w14:paraId="4DE9C1FC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  <w:rPr>
          <w:b/>
        </w:rPr>
      </w:pPr>
      <w:r w:rsidRPr="00C063E0">
        <w:t>Добровольные взносы используются Ассоциацией на уставные цели в соответствии с назначением передаваемого имущества.</w:t>
      </w:r>
    </w:p>
    <w:p w14:paraId="1BC3C242" w14:textId="77777777" w:rsidR="00C063E0" w:rsidRPr="00C063E0" w:rsidRDefault="00C063E0" w:rsidP="00CB29C4">
      <w:pPr>
        <w:tabs>
          <w:tab w:val="left" w:pos="993"/>
        </w:tabs>
        <w:ind w:firstLine="567"/>
        <w:contextualSpacing/>
        <w:jc w:val="both"/>
        <w:rPr>
          <w:b/>
        </w:rPr>
      </w:pPr>
    </w:p>
    <w:p w14:paraId="40000C0F" w14:textId="77777777" w:rsidR="00C063E0" w:rsidRPr="003A0595" w:rsidRDefault="00C063E0" w:rsidP="00CB29C4">
      <w:pPr>
        <w:numPr>
          <w:ilvl w:val="0"/>
          <w:numId w:val="17"/>
        </w:numPr>
        <w:tabs>
          <w:tab w:val="left" w:pos="993"/>
        </w:tabs>
        <w:ind w:left="0" w:firstLine="567"/>
        <w:contextualSpacing/>
        <w:jc w:val="center"/>
        <w:rPr>
          <w:b/>
        </w:rPr>
      </w:pPr>
      <w:r w:rsidRPr="00C063E0">
        <w:rPr>
          <w:b/>
          <w:bCs/>
        </w:rPr>
        <w:t>ЗАКЛЮЧИТЕЛЬНЫЕ ПОЛОЖЕНИЯ</w:t>
      </w:r>
    </w:p>
    <w:p w14:paraId="5CDB6A1F" w14:textId="77777777" w:rsidR="003A0595" w:rsidRPr="00C063E0" w:rsidRDefault="003A0595" w:rsidP="003A0595">
      <w:pPr>
        <w:tabs>
          <w:tab w:val="left" w:pos="993"/>
        </w:tabs>
        <w:ind w:left="567"/>
        <w:contextualSpacing/>
        <w:rPr>
          <w:b/>
        </w:rPr>
      </w:pPr>
    </w:p>
    <w:p w14:paraId="68831CD2" w14:textId="77777777" w:rsidR="00C063E0" w:rsidRPr="0058649B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  <w:rPr>
          <w:b/>
        </w:rPr>
      </w:pPr>
      <w:r w:rsidRPr="0058649B">
        <w:t>Неуплатой регулярного членского взноса признается факт невнесения членом Ассоциации членского взноса в течение двух месяцев.</w:t>
      </w:r>
    </w:p>
    <w:p w14:paraId="08F5A445" w14:textId="2C87726F" w:rsidR="00C063E0" w:rsidRPr="0058649B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  <w:rPr>
          <w:b/>
        </w:rPr>
      </w:pPr>
      <w:r w:rsidRPr="0058649B">
        <w:t>Несвоевременной уплатой членских взносов признается факт невнесения членом Ассоциации членского взноса в течение 5 (пяти) рабочих дней с момента уплаты предусмотренного п. 3.</w:t>
      </w:r>
      <w:r w:rsidR="00D87AF3" w:rsidRPr="0058649B">
        <w:t>1. настоящего</w:t>
      </w:r>
      <w:r w:rsidRPr="0058649B">
        <w:t xml:space="preserve"> Положения.</w:t>
      </w:r>
    </w:p>
    <w:p w14:paraId="52ABA7D5" w14:textId="35B96FAD" w:rsidR="00C063E0" w:rsidRPr="0058649B" w:rsidRDefault="0058649B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  <w:rPr>
          <w:b/>
        </w:rPr>
      </w:pPr>
      <w:r w:rsidRPr="0058649B">
        <w:t>При неоднократной</w:t>
      </w:r>
      <w:r w:rsidR="00C063E0" w:rsidRPr="0058649B">
        <w:t xml:space="preserve"> неуплат</w:t>
      </w:r>
      <w:r w:rsidRPr="0058649B">
        <w:t>е</w:t>
      </w:r>
      <w:r w:rsidR="00C063E0" w:rsidRPr="0058649B">
        <w:t xml:space="preserve"> регулярных членских взносов в течение одного года или их неоднократн</w:t>
      </w:r>
      <w:r w:rsidRPr="0058649B">
        <w:t>ой</w:t>
      </w:r>
      <w:r w:rsidR="00C063E0" w:rsidRPr="0058649B">
        <w:t xml:space="preserve"> несвоевременн</w:t>
      </w:r>
      <w:r w:rsidRPr="0058649B">
        <w:t>ой</w:t>
      </w:r>
      <w:r w:rsidR="00C063E0" w:rsidRPr="0058649B">
        <w:t xml:space="preserve"> уплат</w:t>
      </w:r>
      <w:r w:rsidRPr="0058649B">
        <w:t>е</w:t>
      </w:r>
      <w:r w:rsidR="00C063E0" w:rsidRPr="0058649B">
        <w:t xml:space="preserve"> в течение одного года </w:t>
      </w:r>
      <w:r w:rsidRPr="0058649B">
        <w:t xml:space="preserve">Ассоциация вправе исключить из членов Ассоциации </w:t>
      </w:r>
      <w:r w:rsidR="00C063E0" w:rsidRPr="0058649B">
        <w:t>в соответствии с Уставом и внутренними документами Ассоциации</w:t>
      </w:r>
      <w:r w:rsidR="00D87AF3" w:rsidRPr="0058649B">
        <w:t>.</w:t>
      </w:r>
    </w:p>
    <w:p w14:paraId="1E527C22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  <w:rPr>
          <w:b/>
        </w:rPr>
      </w:pPr>
      <w:r w:rsidRPr="0058649B">
        <w:t>Приостановление</w:t>
      </w:r>
      <w:r w:rsidRPr="00C14733">
        <w:t xml:space="preserve"> членства в Ассоциации, по любым основаниям, предусмотренным «Положением о мерах</w:t>
      </w:r>
      <w:r w:rsidRPr="00C14733">
        <w:rPr>
          <w:b/>
          <w:i/>
        </w:rPr>
        <w:t xml:space="preserve"> </w:t>
      </w:r>
      <w:r w:rsidRPr="00C14733">
        <w:t>дисциплинарного воздействия Ассоциации «</w:t>
      </w:r>
      <w:r w:rsidR="003A0595" w:rsidRPr="00C14733">
        <w:t xml:space="preserve">Приволжская гильдия </w:t>
      </w:r>
      <w:r w:rsidR="003A0595" w:rsidRPr="00C14733">
        <w:lastRenderedPageBreak/>
        <w:t>строителей</w:t>
      </w:r>
      <w:r w:rsidRPr="00C14733">
        <w:t>», прекращение</w:t>
      </w:r>
      <w:r w:rsidRPr="00C063E0">
        <w:t xml:space="preserve"> членства в Ассоциации не является основанием для освобождения от уплаты задолженности по членским взносам.</w:t>
      </w:r>
    </w:p>
    <w:p w14:paraId="55D8CB28" w14:textId="686F1EFD" w:rsidR="00D44AEB" w:rsidRPr="00D44AEB" w:rsidRDefault="00D44AEB" w:rsidP="00D44AEB">
      <w:pPr>
        <w:tabs>
          <w:tab w:val="left" w:pos="993"/>
        </w:tabs>
        <w:ind w:firstLine="567"/>
        <w:contextualSpacing/>
        <w:jc w:val="both"/>
        <w:rPr>
          <w:bCs/>
        </w:rPr>
      </w:pPr>
      <w:r w:rsidRPr="00F63E78">
        <w:rPr>
          <w:bCs/>
        </w:rPr>
        <w:t>6.5. Настоящее Положение вступает в силу со дня внесения сведений о нем в государственный реестр саморегулируемых организаций и может пересматриваться Общим Собранием членов Ассоциации по мере необходимости.</w:t>
      </w:r>
    </w:p>
    <w:p w14:paraId="50EBC575" w14:textId="77777777" w:rsidR="00C063E0" w:rsidRPr="00C063E0" w:rsidRDefault="00C063E0" w:rsidP="00CB29C4">
      <w:pPr>
        <w:numPr>
          <w:ilvl w:val="1"/>
          <w:numId w:val="17"/>
        </w:numPr>
        <w:tabs>
          <w:tab w:val="left" w:pos="993"/>
        </w:tabs>
        <w:ind w:left="0" w:firstLine="567"/>
        <w:contextualSpacing/>
        <w:jc w:val="both"/>
        <w:rPr>
          <w:b/>
        </w:rPr>
      </w:pPr>
      <w:r w:rsidRPr="00C063E0">
        <w:t xml:space="preserve">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Федерации. </w:t>
      </w:r>
    </w:p>
    <w:p w14:paraId="0002FCF0" w14:textId="214E6306" w:rsidR="00C063E0" w:rsidRPr="00C063E0" w:rsidRDefault="004E0ABE" w:rsidP="00C063E0">
      <w:pPr>
        <w:spacing w:line="360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576A0C" wp14:editId="53CA586C">
            <wp:simplePos x="0" y="0"/>
            <wp:positionH relativeFrom="column">
              <wp:posOffset>3905250</wp:posOffset>
            </wp:positionH>
            <wp:positionV relativeFrom="paragraph">
              <wp:posOffset>490855</wp:posOffset>
            </wp:positionV>
            <wp:extent cx="904875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D431074" wp14:editId="24485B46">
            <wp:simplePos x="0" y="0"/>
            <wp:positionH relativeFrom="column">
              <wp:posOffset>603885</wp:posOffset>
            </wp:positionH>
            <wp:positionV relativeFrom="paragraph">
              <wp:posOffset>422910</wp:posOffset>
            </wp:positionV>
            <wp:extent cx="1647825" cy="1524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3E0" w:rsidRPr="00C063E0">
        <w:br/>
      </w:r>
    </w:p>
    <w:p w14:paraId="0DAE3817" w14:textId="315CD178" w:rsidR="00CB29C4" w:rsidRDefault="00CB29C4" w:rsidP="00CB29C4">
      <w:pPr>
        <w:pStyle w:val="aa"/>
        <w:tabs>
          <w:tab w:val="left" w:pos="993"/>
        </w:tabs>
        <w:spacing w:before="120" w:after="120"/>
        <w:ind w:left="0"/>
        <w:jc w:val="both"/>
        <w:rPr>
          <w:b/>
        </w:rPr>
      </w:pPr>
      <w:r>
        <w:rPr>
          <w:b/>
        </w:rPr>
        <w:t xml:space="preserve">Председатель </w:t>
      </w:r>
      <w:r w:rsidR="003A0595">
        <w:rPr>
          <w:b/>
        </w:rPr>
        <w:t>Правления</w:t>
      </w:r>
      <w:r>
        <w:rPr>
          <w:b/>
        </w:rPr>
        <w:t xml:space="preserve">                                                          </w:t>
      </w:r>
    </w:p>
    <w:p w14:paraId="6FAA86F9" w14:textId="4A4DAF64" w:rsidR="00CB29C4" w:rsidRDefault="00CB29C4" w:rsidP="00CB29C4">
      <w:pPr>
        <w:pStyle w:val="aa"/>
        <w:tabs>
          <w:tab w:val="left" w:pos="993"/>
        </w:tabs>
        <w:spacing w:before="120" w:after="120"/>
        <w:ind w:left="0"/>
        <w:jc w:val="both"/>
        <w:rPr>
          <w:b/>
        </w:rPr>
      </w:pPr>
      <w:r>
        <w:rPr>
          <w:b/>
        </w:rPr>
        <w:t>Ассоциации «</w:t>
      </w:r>
      <w:r w:rsidR="003A0595">
        <w:rPr>
          <w:b/>
        </w:rPr>
        <w:t xml:space="preserve">Приволжская гильдия </w:t>
      </w:r>
      <w:proofErr w:type="gramStart"/>
      <w:r w:rsidR="003A0595">
        <w:rPr>
          <w:b/>
        </w:rPr>
        <w:t>строителей</w:t>
      </w:r>
      <w:r w:rsidR="003A0595" w:rsidRPr="00C14733">
        <w:rPr>
          <w:b/>
        </w:rPr>
        <w:t>»</w:t>
      </w:r>
      <w:r w:rsidRPr="00C14733">
        <w:rPr>
          <w:b/>
        </w:rPr>
        <w:t xml:space="preserve">   </w:t>
      </w:r>
      <w:proofErr w:type="gramEnd"/>
      <w:r w:rsidRPr="00C14733">
        <w:rPr>
          <w:b/>
        </w:rPr>
        <w:t xml:space="preserve">                             </w:t>
      </w:r>
      <w:r w:rsidR="003A0595" w:rsidRPr="00C14733">
        <w:rPr>
          <w:b/>
        </w:rPr>
        <w:t xml:space="preserve">      </w:t>
      </w:r>
      <w:r w:rsidRPr="00C14733">
        <w:rPr>
          <w:b/>
        </w:rPr>
        <w:t xml:space="preserve">       </w:t>
      </w:r>
      <w:r w:rsidR="00AE3E98">
        <w:rPr>
          <w:b/>
        </w:rPr>
        <w:t>Зверев Р.В.</w:t>
      </w:r>
    </w:p>
    <w:p w14:paraId="7C08E418" w14:textId="697AA375" w:rsidR="00CB29C4" w:rsidRDefault="00CB29C4" w:rsidP="00CB29C4">
      <w:pPr>
        <w:pStyle w:val="aa"/>
        <w:tabs>
          <w:tab w:val="left" w:pos="993"/>
        </w:tabs>
        <w:ind w:left="-284" w:right="-142" w:firstLine="567"/>
        <w:jc w:val="both"/>
        <w:rPr>
          <w:rFonts w:ascii="Calibri" w:hAnsi="Calibri"/>
          <w:sz w:val="22"/>
          <w:szCs w:val="22"/>
        </w:rPr>
      </w:pPr>
    </w:p>
    <w:p w14:paraId="7C236905" w14:textId="15A7BAEA" w:rsidR="00C063E0" w:rsidRPr="00C063E0" w:rsidRDefault="00C063E0" w:rsidP="00C063E0">
      <w:pPr>
        <w:spacing w:line="360" w:lineRule="auto"/>
        <w:ind w:firstLine="567"/>
        <w:jc w:val="both"/>
      </w:pPr>
    </w:p>
    <w:p w14:paraId="7580F234" w14:textId="74285F6F" w:rsidR="00C063E0" w:rsidRPr="00C063E0" w:rsidRDefault="00C063E0" w:rsidP="00C063E0">
      <w:pPr>
        <w:spacing w:line="360" w:lineRule="auto"/>
        <w:rPr>
          <w:rFonts w:ascii="Calibri" w:hAnsi="Calibri"/>
          <w:sz w:val="22"/>
          <w:szCs w:val="22"/>
        </w:rPr>
      </w:pPr>
    </w:p>
    <w:p w14:paraId="6ED8ABCD" w14:textId="2AA15B5C" w:rsidR="00023340" w:rsidRDefault="00023340">
      <w:pPr>
        <w:rPr>
          <w:rFonts w:ascii="Calibri" w:hAnsi="Calibri"/>
          <w:sz w:val="22"/>
          <w:szCs w:val="22"/>
        </w:rPr>
      </w:pPr>
    </w:p>
    <w:sectPr w:rsidR="00023340" w:rsidSect="00D6524C">
      <w:footerReference w:type="even" r:id="rId10"/>
      <w:footerReference w:type="default" r:id="rId11"/>
      <w:pgSz w:w="11906" w:h="16838"/>
      <w:pgMar w:top="993" w:right="850" w:bottom="851" w:left="851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48E7" w14:textId="77777777" w:rsidR="00485090" w:rsidRDefault="00485090" w:rsidP="00EA7041">
      <w:r>
        <w:separator/>
      </w:r>
    </w:p>
  </w:endnote>
  <w:endnote w:type="continuationSeparator" w:id="0">
    <w:p w14:paraId="5FF1AA70" w14:textId="77777777" w:rsidR="00485090" w:rsidRDefault="00485090" w:rsidP="00EA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9394" w14:textId="77777777" w:rsidR="00203A6A" w:rsidRDefault="00DF4B93" w:rsidP="00B80DB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03A6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75681B7" w14:textId="77777777" w:rsidR="00203A6A" w:rsidRDefault="00203A6A" w:rsidP="0044373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1463"/>
      <w:docPartObj>
        <w:docPartGallery w:val="Page Numbers (Bottom of Page)"/>
        <w:docPartUnique/>
      </w:docPartObj>
    </w:sdtPr>
    <w:sdtEndPr/>
    <w:sdtContent>
      <w:p w14:paraId="4D280D6F" w14:textId="77777777" w:rsidR="003A0595" w:rsidRDefault="00AE3E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3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98341E" w14:textId="77777777" w:rsidR="003A0595" w:rsidRDefault="003A05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FB65" w14:textId="77777777" w:rsidR="00485090" w:rsidRDefault="00485090" w:rsidP="00EA7041">
      <w:r>
        <w:separator/>
      </w:r>
    </w:p>
  </w:footnote>
  <w:footnote w:type="continuationSeparator" w:id="0">
    <w:p w14:paraId="1D7CB0F9" w14:textId="77777777" w:rsidR="00485090" w:rsidRDefault="00485090" w:rsidP="00EA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/>
        <w:b/>
        <w:bCs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138"/>
        </w:tabs>
        <w:ind w:left="11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8"/>
        </w:tabs>
        <w:ind w:left="149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/>
        <w:b/>
        <w:bCs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218"/>
        </w:tabs>
        <w:ind w:left="22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8"/>
        </w:tabs>
        <w:ind w:left="257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/>
        <w:b/>
        <w:bCs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98"/>
        </w:tabs>
        <w:ind w:left="32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8"/>
        </w:tabs>
        <w:ind w:left="3658" w:hanging="360"/>
      </w:pPr>
      <w:rPr>
        <w:rFonts w:ascii="OpenSymbol" w:hAnsi="OpenSymbol" w:cs="OpenSymbol"/>
      </w:rPr>
    </w:lvl>
  </w:abstractNum>
  <w:abstractNum w:abstractNumId="1" w15:restartNumberingAfterBreak="0">
    <w:nsid w:val="00D52C2D"/>
    <w:multiLevelType w:val="multilevel"/>
    <w:tmpl w:val="FE444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3A5BA5"/>
    <w:multiLevelType w:val="multilevel"/>
    <w:tmpl w:val="45147A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AF5ACA"/>
    <w:multiLevelType w:val="multilevel"/>
    <w:tmpl w:val="E79CFF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BD52039"/>
    <w:multiLevelType w:val="multilevel"/>
    <w:tmpl w:val="C0FAA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color w:val="auto"/>
      </w:rPr>
    </w:lvl>
  </w:abstractNum>
  <w:abstractNum w:abstractNumId="5" w15:restartNumberingAfterBreak="0">
    <w:nsid w:val="0D7D3289"/>
    <w:multiLevelType w:val="multilevel"/>
    <w:tmpl w:val="F55ED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  <w:i w:val="0"/>
        <w:color w:val="auto"/>
      </w:rPr>
    </w:lvl>
  </w:abstractNum>
  <w:abstractNum w:abstractNumId="6" w15:restartNumberingAfterBreak="0">
    <w:nsid w:val="130E2EC4"/>
    <w:multiLevelType w:val="multilevel"/>
    <w:tmpl w:val="B2CEF93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26" w:hanging="6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7" w15:restartNumberingAfterBreak="0">
    <w:nsid w:val="1F676A5C"/>
    <w:multiLevelType w:val="multilevel"/>
    <w:tmpl w:val="51D4A480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20523197"/>
    <w:multiLevelType w:val="multilevel"/>
    <w:tmpl w:val="0E4E07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  <w:color w:val="auto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29CB18B8"/>
    <w:multiLevelType w:val="hybridMultilevel"/>
    <w:tmpl w:val="19FE8C5E"/>
    <w:lvl w:ilvl="0" w:tplc="B3FAEE9A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723B81"/>
    <w:multiLevelType w:val="multilevel"/>
    <w:tmpl w:val="FCAE3F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4C22C5B"/>
    <w:multiLevelType w:val="multilevel"/>
    <w:tmpl w:val="C5F61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color w:val="auto"/>
      </w:rPr>
    </w:lvl>
  </w:abstractNum>
  <w:abstractNum w:abstractNumId="12" w15:restartNumberingAfterBreak="0">
    <w:nsid w:val="34CD54F7"/>
    <w:multiLevelType w:val="multilevel"/>
    <w:tmpl w:val="B8D2EB8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4E097190"/>
    <w:multiLevelType w:val="multilevel"/>
    <w:tmpl w:val="F98402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38569E"/>
    <w:multiLevelType w:val="multilevel"/>
    <w:tmpl w:val="648E1D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5" w15:restartNumberingAfterBreak="0">
    <w:nsid w:val="536E59FC"/>
    <w:multiLevelType w:val="multilevel"/>
    <w:tmpl w:val="B582BEF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38C36D3"/>
    <w:multiLevelType w:val="multilevel"/>
    <w:tmpl w:val="D5607A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640137AC"/>
    <w:multiLevelType w:val="multilevel"/>
    <w:tmpl w:val="1CFC60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665A54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3B2CF8"/>
    <w:multiLevelType w:val="hybridMultilevel"/>
    <w:tmpl w:val="216447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11974">
    <w:abstractNumId w:val="6"/>
  </w:num>
  <w:num w:numId="2" w16cid:durableId="1034578215">
    <w:abstractNumId w:val="5"/>
  </w:num>
  <w:num w:numId="3" w16cid:durableId="763962783">
    <w:abstractNumId w:val="11"/>
  </w:num>
  <w:num w:numId="4" w16cid:durableId="32927536">
    <w:abstractNumId w:val="4"/>
  </w:num>
  <w:num w:numId="5" w16cid:durableId="1577085176">
    <w:abstractNumId w:val="7"/>
  </w:num>
  <w:num w:numId="6" w16cid:durableId="1636980576">
    <w:abstractNumId w:val="13"/>
  </w:num>
  <w:num w:numId="7" w16cid:durableId="2089957854">
    <w:abstractNumId w:val="19"/>
  </w:num>
  <w:num w:numId="8" w16cid:durableId="117653887">
    <w:abstractNumId w:val="8"/>
  </w:num>
  <w:num w:numId="9" w16cid:durableId="578173935">
    <w:abstractNumId w:val="15"/>
  </w:num>
  <w:num w:numId="10" w16cid:durableId="1534150645">
    <w:abstractNumId w:val="18"/>
  </w:num>
  <w:num w:numId="11" w16cid:durableId="22178960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351817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3241775">
    <w:abstractNumId w:val="1"/>
  </w:num>
  <w:num w:numId="14" w16cid:durableId="240481169">
    <w:abstractNumId w:val="2"/>
  </w:num>
  <w:num w:numId="15" w16cid:durableId="1301037166">
    <w:abstractNumId w:val="12"/>
  </w:num>
  <w:num w:numId="16" w16cid:durableId="1580939313">
    <w:abstractNumId w:val="14"/>
  </w:num>
  <w:num w:numId="17" w16cid:durableId="189337332">
    <w:abstractNumId w:val="17"/>
  </w:num>
  <w:num w:numId="18" w16cid:durableId="207379265">
    <w:abstractNumId w:val="16"/>
  </w:num>
  <w:num w:numId="19" w16cid:durableId="18191517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3820658">
    <w:abstractNumId w:val="0"/>
  </w:num>
  <w:num w:numId="21" w16cid:durableId="11726483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02"/>
    <w:rsid w:val="00006810"/>
    <w:rsid w:val="00023340"/>
    <w:rsid w:val="000314DD"/>
    <w:rsid w:val="00033071"/>
    <w:rsid w:val="0003531F"/>
    <w:rsid w:val="0004292A"/>
    <w:rsid w:val="000433B8"/>
    <w:rsid w:val="000528D2"/>
    <w:rsid w:val="00064498"/>
    <w:rsid w:val="0007539E"/>
    <w:rsid w:val="000824B5"/>
    <w:rsid w:val="00084274"/>
    <w:rsid w:val="000A1591"/>
    <w:rsid w:val="000C0EE2"/>
    <w:rsid w:val="000C37A5"/>
    <w:rsid w:val="000C61D5"/>
    <w:rsid w:val="000D0869"/>
    <w:rsid w:val="000D6A5C"/>
    <w:rsid w:val="000F30A4"/>
    <w:rsid w:val="001134D1"/>
    <w:rsid w:val="00121C8E"/>
    <w:rsid w:val="001238C9"/>
    <w:rsid w:val="0013045C"/>
    <w:rsid w:val="001364E1"/>
    <w:rsid w:val="0015038A"/>
    <w:rsid w:val="00151EEA"/>
    <w:rsid w:val="00170F9C"/>
    <w:rsid w:val="00176F50"/>
    <w:rsid w:val="001A57CD"/>
    <w:rsid w:val="001A6031"/>
    <w:rsid w:val="001A6F17"/>
    <w:rsid w:val="001D01DC"/>
    <w:rsid w:val="001D3015"/>
    <w:rsid w:val="001F6B6C"/>
    <w:rsid w:val="00201533"/>
    <w:rsid w:val="00203A6A"/>
    <w:rsid w:val="00211E0D"/>
    <w:rsid w:val="0022052E"/>
    <w:rsid w:val="0026106A"/>
    <w:rsid w:val="00261405"/>
    <w:rsid w:val="00271C48"/>
    <w:rsid w:val="002743ED"/>
    <w:rsid w:val="002747BA"/>
    <w:rsid w:val="0029528B"/>
    <w:rsid w:val="002A5207"/>
    <w:rsid w:val="002A558D"/>
    <w:rsid w:val="002B1702"/>
    <w:rsid w:val="002D2E37"/>
    <w:rsid w:val="002D7478"/>
    <w:rsid w:val="002E2D0D"/>
    <w:rsid w:val="002F046F"/>
    <w:rsid w:val="002F6A6E"/>
    <w:rsid w:val="00315E39"/>
    <w:rsid w:val="00331084"/>
    <w:rsid w:val="00333F21"/>
    <w:rsid w:val="00354E5E"/>
    <w:rsid w:val="0036271E"/>
    <w:rsid w:val="00377555"/>
    <w:rsid w:val="00383082"/>
    <w:rsid w:val="003A0595"/>
    <w:rsid w:val="003B75F5"/>
    <w:rsid w:val="003C5061"/>
    <w:rsid w:val="003C5383"/>
    <w:rsid w:val="003D69BC"/>
    <w:rsid w:val="003D6F0F"/>
    <w:rsid w:val="003E6BE7"/>
    <w:rsid w:val="003F4E88"/>
    <w:rsid w:val="00421D59"/>
    <w:rsid w:val="00424502"/>
    <w:rsid w:val="0042734D"/>
    <w:rsid w:val="00432099"/>
    <w:rsid w:val="004354CA"/>
    <w:rsid w:val="00443738"/>
    <w:rsid w:val="0044728C"/>
    <w:rsid w:val="004712E8"/>
    <w:rsid w:val="00485090"/>
    <w:rsid w:val="00493AB6"/>
    <w:rsid w:val="00493BA8"/>
    <w:rsid w:val="004D41AA"/>
    <w:rsid w:val="004D5032"/>
    <w:rsid w:val="004E0ABE"/>
    <w:rsid w:val="004E0DA2"/>
    <w:rsid w:val="004F2C8B"/>
    <w:rsid w:val="004F4AB0"/>
    <w:rsid w:val="00502E06"/>
    <w:rsid w:val="0050631F"/>
    <w:rsid w:val="005125F0"/>
    <w:rsid w:val="0053400C"/>
    <w:rsid w:val="005427CA"/>
    <w:rsid w:val="00552A9A"/>
    <w:rsid w:val="00554734"/>
    <w:rsid w:val="005656F7"/>
    <w:rsid w:val="005857B1"/>
    <w:rsid w:val="0058649B"/>
    <w:rsid w:val="005905A0"/>
    <w:rsid w:val="005A34DC"/>
    <w:rsid w:val="005B2493"/>
    <w:rsid w:val="005B3696"/>
    <w:rsid w:val="005B48CE"/>
    <w:rsid w:val="005C219B"/>
    <w:rsid w:val="005C2962"/>
    <w:rsid w:val="005C47B0"/>
    <w:rsid w:val="005F2D53"/>
    <w:rsid w:val="00601502"/>
    <w:rsid w:val="006308FE"/>
    <w:rsid w:val="006430E3"/>
    <w:rsid w:val="00662079"/>
    <w:rsid w:val="00663662"/>
    <w:rsid w:val="00674500"/>
    <w:rsid w:val="0067483A"/>
    <w:rsid w:val="00676B33"/>
    <w:rsid w:val="00696285"/>
    <w:rsid w:val="006A400D"/>
    <w:rsid w:val="006B200D"/>
    <w:rsid w:val="006B6270"/>
    <w:rsid w:val="006C46D6"/>
    <w:rsid w:val="006E54AB"/>
    <w:rsid w:val="006F37A2"/>
    <w:rsid w:val="00710D46"/>
    <w:rsid w:val="0071525B"/>
    <w:rsid w:val="00716E54"/>
    <w:rsid w:val="00730F13"/>
    <w:rsid w:val="00743ABA"/>
    <w:rsid w:val="007530ED"/>
    <w:rsid w:val="00753718"/>
    <w:rsid w:val="0076694A"/>
    <w:rsid w:val="00770F62"/>
    <w:rsid w:val="00781B96"/>
    <w:rsid w:val="007865B8"/>
    <w:rsid w:val="007916C7"/>
    <w:rsid w:val="00796F3A"/>
    <w:rsid w:val="007A3FBC"/>
    <w:rsid w:val="007B3B0C"/>
    <w:rsid w:val="007C2D53"/>
    <w:rsid w:val="007E1B10"/>
    <w:rsid w:val="007E6C26"/>
    <w:rsid w:val="00804C89"/>
    <w:rsid w:val="00810B81"/>
    <w:rsid w:val="00812349"/>
    <w:rsid w:val="00864B18"/>
    <w:rsid w:val="008843DD"/>
    <w:rsid w:val="0089746A"/>
    <w:rsid w:val="008C0E4E"/>
    <w:rsid w:val="008C4986"/>
    <w:rsid w:val="008C616B"/>
    <w:rsid w:val="008E1FBC"/>
    <w:rsid w:val="008F1F4C"/>
    <w:rsid w:val="008F7F5B"/>
    <w:rsid w:val="00907AA9"/>
    <w:rsid w:val="0091244B"/>
    <w:rsid w:val="00913430"/>
    <w:rsid w:val="009219D4"/>
    <w:rsid w:val="00923898"/>
    <w:rsid w:val="00923A27"/>
    <w:rsid w:val="00923FB1"/>
    <w:rsid w:val="00933BEC"/>
    <w:rsid w:val="00970D2B"/>
    <w:rsid w:val="00984C33"/>
    <w:rsid w:val="00990021"/>
    <w:rsid w:val="009A12AF"/>
    <w:rsid w:val="009C149E"/>
    <w:rsid w:val="009C1BFB"/>
    <w:rsid w:val="009C6552"/>
    <w:rsid w:val="009D764D"/>
    <w:rsid w:val="009E35CD"/>
    <w:rsid w:val="00A02A51"/>
    <w:rsid w:val="00A10511"/>
    <w:rsid w:val="00A27790"/>
    <w:rsid w:val="00A47AC0"/>
    <w:rsid w:val="00A56577"/>
    <w:rsid w:val="00A6710B"/>
    <w:rsid w:val="00A77166"/>
    <w:rsid w:val="00A843E0"/>
    <w:rsid w:val="00AA3822"/>
    <w:rsid w:val="00AC40DD"/>
    <w:rsid w:val="00AE3E98"/>
    <w:rsid w:val="00AE771F"/>
    <w:rsid w:val="00AF3EAA"/>
    <w:rsid w:val="00B00E02"/>
    <w:rsid w:val="00B12CE1"/>
    <w:rsid w:val="00B13BDD"/>
    <w:rsid w:val="00B25A42"/>
    <w:rsid w:val="00B50E6F"/>
    <w:rsid w:val="00B62B7D"/>
    <w:rsid w:val="00B70E55"/>
    <w:rsid w:val="00B80DB6"/>
    <w:rsid w:val="00B8370F"/>
    <w:rsid w:val="00B85341"/>
    <w:rsid w:val="00BA66C6"/>
    <w:rsid w:val="00BE0735"/>
    <w:rsid w:val="00BE173B"/>
    <w:rsid w:val="00C063E0"/>
    <w:rsid w:val="00C14733"/>
    <w:rsid w:val="00C30C8E"/>
    <w:rsid w:val="00C30D32"/>
    <w:rsid w:val="00C379C6"/>
    <w:rsid w:val="00C50E24"/>
    <w:rsid w:val="00C70386"/>
    <w:rsid w:val="00C73684"/>
    <w:rsid w:val="00C83F3E"/>
    <w:rsid w:val="00CA2A06"/>
    <w:rsid w:val="00CB29C4"/>
    <w:rsid w:val="00D44AEB"/>
    <w:rsid w:val="00D6524C"/>
    <w:rsid w:val="00D73AD6"/>
    <w:rsid w:val="00D87AF3"/>
    <w:rsid w:val="00DA4465"/>
    <w:rsid w:val="00DA6141"/>
    <w:rsid w:val="00DB29F6"/>
    <w:rsid w:val="00DB78E2"/>
    <w:rsid w:val="00DC0111"/>
    <w:rsid w:val="00DE124E"/>
    <w:rsid w:val="00DF4B93"/>
    <w:rsid w:val="00DF7B63"/>
    <w:rsid w:val="00E02182"/>
    <w:rsid w:val="00E02A31"/>
    <w:rsid w:val="00E07887"/>
    <w:rsid w:val="00E27992"/>
    <w:rsid w:val="00E5123F"/>
    <w:rsid w:val="00E63876"/>
    <w:rsid w:val="00E764E6"/>
    <w:rsid w:val="00E76930"/>
    <w:rsid w:val="00E91A18"/>
    <w:rsid w:val="00E92EF2"/>
    <w:rsid w:val="00EA7041"/>
    <w:rsid w:val="00EC6793"/>
    <w:rsid w:val="00ED05D7"/>
    <w:rsid w:val="00ED50A3"/>
    <w:rsid w:val="00EE0DC9"/>
    <w:rsid w:val="00EE384D"/>
    <w:rsid w:val="00EE4140"/>
    <w:rsid w:val="00EF5927"/>
    <w:rsid w:val="00F11709"/>
    <w:rsid w:val="00F14776"/>
    <w:rsid w:val="00F63E78"/>
    <w:rsid w:val="00F7127F"/>
    <w:rsid w:val="00F805C1"/>
    <w:rsid w:val="00FB0902"/>
    <w:rsid w:val="00FB7C25"/>
    <w:rsid w:val="00FF3359"/>
    <w:rsid w:val="00FF4211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B6FD4D1"/>
  <w15:docId w15:val="{C9D31ACD-F1A8-494A-91D0-232B7007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0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04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70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7041"/>
    <w:rPr>
      <w:sz w:val="24"/>
      <w:szCs w:val="24"/>
    </w:rPr>
  </w:style>
  <w:style w:type="paragraph" w:styleId="a7">
    <w:name w:val="Document Map"/>
    <w:basedOn w:val="a"/>
    <w:semiHidden/>
    <w:rsid w:val="001D301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page number"/>
    <w:basedOn w:val="a0"/>
    <w:rsid w:val="00443738"/>
  </w:style>
  <w:style w:type="paragraph" w:styleId="a9">
    <w:name w:val="Balloon Text"/>
    <w:basedOn w:val="a"/>
    <w:semiHidden/>
    <w:rsid w:val="009C65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7483A"/>
    <w:pPr>
      <w:ind w:left="720"/>
      <w:contextualSpacing/>
    </w:pPr>
  </w:style>
  <w:style w:type="paragraph" w:customStyle="1" w:styleId="ConsNonformat">
    <w:name w:val="ConsNonformat"/>
    <w:rsid w:val="00CB29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b">
    <w:name w:val="Strong"/>
    <w:basedOn w:val="a0"/>
    <w:uiPriority w:val="22"/>
    <w:qFormat/>
    <w:rsid w:val="00CB2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EDB1-76F7-424C-9F91-261884E6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839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1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Kholopik</dc:creator>
  <cp:lastModifiedBy>User</cp:lastModifiedBy>
  <cp:revision>9</cp:revision>
  <cp:lastPrinted>2022-10-18T07:19:00Z</cp:lastPrinted>
  <dcterms:created xsi:type="dcterms:W3CDTF">2022-08-24T07:50:00Z</dcterms:created>
  <dcterms:modified xsi:type="dcterms:W3CDTF">2022-10-18T10:30:00Z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115679712</vt:i4>
  </property>
  <property fmtid="{D5CDD505-2E9C-101B-9397-08002B2CF9AE}" pid="3" name="_EmailSubject">
    <vt:lpwstr/>
  </property>
  <property fmtid="{D5CDD505-2E9C-101B-9397-08002B2CF9AE}" pid="4" name="_AuthorEmail">
    <vt:lpwstr>a.m.hachaturyan@sro-s.ru</vt:lpwstr>
  </property>
  <property fmtid="{D5CDD505-2E9C-101B-9397-08002B2CF9AE}" pid="5" name="_AuthorEmailDisplayName">
    <vt:lpwstr>Артур Хачатурян</vt:lpwstr>
  </property>
  <property fmtid="{D5CDD505-2E9C-101B-9397-08002B2CF9AE}" pid="6" name="_ReviewingToolsShownOnce">
    <vt:lpwstr/>
  </property>
</Properties>
</file>